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4" w:rsidRPr="002F05A5" w:rsidRDefault="00D911C4" w:rsidP="00D911C4">
      <w:pPr>
        <w:ind w:left="4248"/>
      </w:pPr>
      <w:r w:rsidRPr="002F05A5">
        <w:t xml:space="preserve">Приложение № </w:t>
      </w:r>
      <w:r>
        <w:t>5</w:t>
      </w:r>
      <w:bookmarkStart w:id="0" w:name="_GoBack"/>
      <w:bookmarkEnd w:id="0"/>
    </w:p>
    <w:p w:rsidR="00D911C4" w:rsidRPr="002F05A5" w:rsidRDefault="00D911C4" w:rsidP="00D911C4">
      <w:pPr>
        <w:ind w:left="4248"/>
      </w:pPr>
    </w:p>
    <w:p w:rsidR="00D911C4" w:rsidRPr="002F05A5" w:rsidRDefault="00D911C4" w:rsidP="00D911C4">
      <w:pPr>
        <w:ind w:left="4248"/>
      </w:pPr>
      <w:r w:rsidRPr="002F05A5">
        <w:t>УТВЕРЖДЕНО</w:t>
      </w:r>
    </w:p>
    <w:p w:rsidR="00D911C4" w:rsidRPr="002F05A5" w:rsidRDefault="00D911C4" w:rsidP="00D911C4">
      <w:pPr>
        <w:ind w:left="4248"/>
        <w:rPr>
          <w:i/>
        </w:rPr>
      </w:pPr>
      <w:r w:rsidRPr="002F05A5">
        <w:t xml:space="preserve">Приказом директора КОГАУСО «Межрайонный комплексный центр социального обслуживания населения в Вятскополянском районе» </w:t>
      </w:r>
    </w:p>
    <w:p w:rsidR="00D911C4" w:rsidRPr="002F05A5" w:rsidRDefault="00D911C4" w:rsidP="00D911C4">
      <w:pPr>
        <w:ind w:left="4248"/>
      </w:pPr>
      <w:r w:rsidRPr="002F05A5">
        <w:t>от 18.03.2024   № 23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A061AC" w:rsidRDefault="00E0116C" w:rsidP="00A061AC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b/>
          <w:sz w:val="28"/>
          <w:szCs w:val="28"/>
        </w:rPr>
        <w:t>урегулированию конфликта интересов</w:t>
      </w:r>
      <w:r w:rsidR="00A061AC">
        <w:rPr>
          <w:b/>
          <w:sz w:val="28"/>
          <w:szCs w:val="28"/>
        </w:rPr>
        <w:t xml:space="preserve"> в </w:t>
      </w:r>
      <w:r w:rsidR="00A061AC">
        <w:rPr>
          <w:b/>
          <w:bCs/>
          <w:sz w:val="28"/>
          <w:szCs w:val="28"/>
        </w:rPr>
        <w:t xml:space="preserve"> КОГАУСО </w:t>
      </w:r>
      <w:r w:rsidR="00A061AC">
        <w:rPr>
          <w:b/>
          <w:sz w:val="28"/>
          <w:szCs w:val="28"/>
        </w:rPr>
        <w:t xml:space="preserve">«Межрайонный комплексный центр социального обслуживания </w:t>
      </w:r>
      <w:r w:rsidR="006E1249">
        <w:rPr>
          <w:b/>
          <w:sz w:val="28"/>
          <w:szCs w:val="28"/>
        </w:rPr>
        <w:t xml:space="preserve">населения </w:t>
      </w:r>
      <w:r w:rsidR="00A061AC">
        <w:rPr>
          <w:b/>
          <w:sz w:val="28"/>
          <w:szCs w:val="28"/>
        </w:rPr>
        <w:t>в Вятскополянском районе»</w:t>
      </w:r>
    </w:p>
    <w:p w:rsidR="00E0116C" w:rsidRPr="00047B32" w:rsidRDefault="00E0116C" w:rsidP="00174B0F">
      <w:pPr>
        <w:jc w:val="center"/>
        <w:rPr>
          <w:b/>
          <w:sz w:val="28"/>
          <w:szCs w:val="28"/>
        </w:rPr>
      </w:pP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</w:t>
      </w:r>
      <w:proofErr w:type="gramStart"/>
      <w:r w:rsidRPr="00047B32">
        <w:rPr>
          <w:sz w:val="28"/>
          <w:szCs w:val="28"/>
        </w:rPr>
        <w:t xml:space="preserve">Положением о комиссии </w:t>
      </w:r>
      <w:r w:rsidR="00A061AC">
        <w:rPr>
          <w:sz w:val="28"/>
          <w:szCs w:val="28"/>
        </w:rPr>
        <w:t>в КОГАУСО «Межрайонный комплексный центр социального обслуживания населения в Вятскополянском районе»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>урегулированию конфликта интересов (далее – Положение) определяется порядок формирования и деятельности комиссии</w:t>
      </w:r>
      <w:r w:rsidR="00A061AC" w:rsidRPr="00A061AC">
        <w:rPr>
          <w:sz w:val="28"/>
          <w:szCs w:val="28"/>
        </w:rPr>
        <w:t xml:space="preserve"> </w:t>
      </w:r>
      <w:r w:rsidR="00A061AC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A061AC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 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  <w:proofErr w:type="gramEnd"/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 Основной задачей комиссии является содействие</w:t>
      </w:r>
      <w:r w:rsidR="00A061AC" w:rsidRPr="00A061AC">
        <w:rPr>
          <w:sz w:val="28"/>
          <w:szCs w:val="28"/>
        </w:rPr>
        <w:t xml:space="preserve"> </w:t>
      </w:r>
      <w:r w:rsidR="00A061AC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A061AC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 </w:t>
      </w:r>
      <w:r w:rsidR="002513DF" w:rsidRPr="00047B32">
        <w:rPr>
          <w:i/>
          <w:sz w:val="28"/>
          <w:szCs w:val="28"/>
        </w:rPr>
        <w:t xml:space="preserve"> 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3.1. </w:t>
      </w:r>
      <w:proofErr w:type="gramStart"/>
      <w:r w:rsidRPr="00047B32">
        <w:rPr>
          <w:sz w:val="28"/>
          <w:szCs w:val="28"/>
        </w:rPr>
        <w:t>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</w:t>
      </w:r>
      <w:r w:rsidRPr="00047B32">
        <w:rPr>
          <w:sz w:val="28"/>
          <w:szCs w:val="28"/>
        </w:rPr>
        <w:lastRenderedPageBreak/>
        <w:t xml:space="preserve">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  <w:proofErr w:type="gramEnd"/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A061AC">
        <w:rPr>
          <w:sz w:val="28"/>
          <w:szCs w:val="28"/>
        </w:rPr>
        <w:t xml:space="preserve">приказом </w:t>
      </w:r>
      <w:r w:rsidR="008B78AD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>назначается заместитель руководителя Учреждени</w:t>
      </w:r>
      <w:r w:rsidR="00A061AC">
        <w:rPr>
          <w:sz w:val="28"/>
          <w:szCs w:val="28"/>
        </w:rPr>
        <w:t>я. Заместителем и секретарем комиссии являются назначенные по приказу  лица из сотрудников Учреждения.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</w:t>
      </w:r>
      <w:r w:rsidR="00481D47" w:rsidRPr="00047B32">
        <w:rPr>
          <w:sz w:val="28"/>
          <w:szCs w:val="28"/>
        </w:rPr>
        <w:lastRenderedPageBreak/>
        <w:t xml:space="preserve">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E5169E">
        <w:rPr>
          <w:sz w:val="28"/>
          <w:szCs w:val="28"/>
        </w:rPr>
        <w:t>лицом, ответственным за профилактику коррупционных и иных правонарушений в  КОГАУСО «Межрайонный комплексный центр социального обслуживания населения в Вятскополянском районе».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D911C4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B" w:rsidRDefault="005A0D5B" w:rsidP="00072C5F">
      <w:r>
        <w:separator/>
      </w:r>
    </w:p>
  </w:endnote>
  <w:endnote w:type="continuationSeparator" w:id="0">
    <w:p w:rsidR="005A0D5B" w:rsidRDefault="005A0D5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B" w:rsidRDefault="005A0D5B" w:rsidP="00072C5F">
      <w:r>
        <w:separator/>
      </w:r>
    </w:p>
  </w:footnote>
  <w:footnote w:type="continuationSeparator" w:id="0">
    <w:p w:rsidR="005A0D5B" w:rsidRDefault="005A0D5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D911C4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138F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5F05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0D5B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24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35C6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0583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061AC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5323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097E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1C4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169E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68C17-EB02-4E86-8E0E-6168F127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12</cp:lastModifiedBy>
  <cp:revision>7</cp:revision>
  <cp:lastPrinted>2024-03-29T05:01:00Z</cp:lastPrinted>
  <dcterms:created xsi:type="dcterms:W3CDTF">2024-03-18T08:27:00Z</dcterms:created>
  <dcterms:modified xsi:type="dcterms:W3CDTF">2024-03-29T05:02:00Z</dcterms:modified>
</cp:coreProperties>
</file>